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厦门</w:t>
      </w:r>
      <w:r>
        <w:rPr>
          <w:rFonts w:ascii="仿宋_GB2312" w:eastAsia="仿宋_GB2312"/>
          <w:b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挥发性有机物污染防治企业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表</w:t>
      </w:r>
    </w:p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企业</w:t>
      </w:r>
      <w:r>
        <w:rPr>
          <w:rFonts w:ascii="仿宋_GB2312" w:hAnsi="宋体" w:eastAsia="仿宋_GB2312" w:cs="宋体"/>
          <w:color w:val="auto"/>
          <w:kern w:val="0"/>
          <w:sz w:val="22"/>
          <w:szCs w:val="22"/>
        </w:rPr>
        <w:t>名称：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  <w:lang w:val="en-US" w:eastAsia="zh-CN"/>
        </w:rPr>
        <w:t xml:space="preserve">    厦门信达南山汽车贸易有限公司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所属</w:t>
      </w:r>
      <w:r>
        <w:rPr>
          <w:rFonts w:ascii="仿宋_GB2312" w:hAnsi="宋体" w:eastAsia="仿宋_GB2312" w:cs="宋体"/>
          <w:color w:val="auto"/>
          <w:kern w:val="0"/>
          <w:sz w:val="22"/>
          <w:szCs w:val="22"/>
        </w:rPr>
        <w:t>行业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  <w:lang w:val="en-US" w:eastAsia="zh-CN"/>
        </w:rPr>
        <w:t>汽车服务</w:t>
      </w:r>
      <w:r>
        <w:rPr>
          <w:rFonts w:ascii="仿宋_GB2312" w:hAnsi="宋体" w:eastAsia="仿宋_GB2312" w:cs="宋体"/>
          <w:color w:val="auto"/>
          <w:kern w:val="0"/>
          <w:sz w:val="22"/>
          <w:szCs w:val="2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检查</w:t>
      </w:r>
      <w:r>
        <w:rPr>
          <w:rFonts w:ascii="仿宋_GB2312" w:hAnsi="宋体" w:eastAsia="仿宋_GB2312" w:cs="宋体"/>
          <w:color w:val="auto"/>
          <w:kern w:val="0"/>
          <w:sz w:val="22"/>
          <w:szCs w:val="22"/>
        </w:rPr>
        <w:t>日期：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2024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年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06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月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25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日</w:t>
      </w:r>
    </w:p>
    <w:tbl>
      <w:tblPr>
        <w:tblStyle w:val="10"/>
        <w:tblW w:w="477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791"/>
        <w:gridCol w:w="3349"/>
        <w:gridCol w:w="3617"/>
        <w:gridCol w:w="11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自查内容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现场情况（是否符合或不涉及）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存在问题描述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整改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9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一、台账要求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是否建立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原辅材料台账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，包含采购、使用消耗、库存结余情况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是否建立生产产品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台账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，包含产品名称、产量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是否保存原辅材料成分说明书、检验报告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是否保存原辅材料送货单、购入发票等原始单据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含VOCs的危险废物产生量、回收量、转移量、转移去向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福建省储鑫环保科技有限公司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台账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是否保存三年以上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59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二、源头控制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是否生产应淘汰类的产品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是否使用应淘汰类的生产装置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9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三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、密闭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要求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含VOCs的原料储存过程是否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含VOCs的原料转移、输送过程是否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含VOCs的原料调制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预处理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）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过程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是否密闭（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如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调漆间、调漆位置）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含VOCs的原料投加、卸放过程是否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</w:rPr>
              <w:t>含VOCs物料的反应、搅拌、混合过程</w:t>
            </w:r>
            <w:r>
              <w:rPr>
                <w:rFonts w:ascii="仿宋_GB2312" w:eastAsia="仿宋_GB2312"/>
                <w:color w:val="auto"/>
              </w:rPr>
              <w:t>是否密闭</w:t>
            </w:r>
            <w:r>
              <w:rPr>
                <w:rFonts w:hint="eastAsia" w:ascii="仿宋_GB2312" w:eastAsia="仿宋_GB2312"/>
                <w:color w:val="auto"/>
              </w:rPr>
              <w:t>，产生的废气是否</w:t>
            </w:r>
            <w:r>
              <w:rPr>
                <w:rFonts w:ascii="仿宋_GB2312" w:eastAsia="仿宋_GB2312"/>
                <w:color w:val="auto"/>
              </w:rPr>
              <w:t>收集</w:t>
            </w:r>
            <w:r>
              <w:rPr>
                <w:rFonts w:hint="eastAsia" w:ascii="仿宋_GB2312" w:eastAsia="仿宋_GB2312"/>
                <w:color w:val="auto"/>
              </w:rPr>
              <w:t>处理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含VOCs物料分离精制过程</w:t>
            </w:r>
            <w:r>
              <w:rPr>
                <w:rFonts w:ascii="仿宋_GB2312" w:eastAsia="仿宋_GB2312"/>
                <w:color w:val="auto"/>
              </w:rPr>
              <w:t>是否</w:t>
            </w:r>
            <w:r>
              <w:rPr>
                <w:rFonts w:hint="eastAsia" w:ascii="仿宋_GB2312" w:eastAsia="仿宋_GB2312"/>
                <w:color w:val="auto"/>
              </w:rPr>
              <w:t>使用</w:t>
            </w:r>
            <w:r>
              <w:rPr>
                <w:rFonts w:ascii="仿宋_GB2312" w:eastAsia="仿宋_GB2312"/>
                <w:color w:val="auto"/>
              </w:rPr>
              <w:t>密闭</w:t>
            </w:r>
            <w:r>
              <w:rPr>
                <w:rFonts w:hint="eastAsia" w:ascii="仿宋_GB2312" w:eastAsia="仿宋_GB2312"/>
                <w:color w:val="auto"/>
              </w:rPr>
              <w:t>设备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</w:rPr>
              <w:t>废气是否</w:t>
            </w:r>
            <w:r>
              <w:rPr>
                <w:rFonts w:ascii="仿宋_GB2312" w:eastAsia="仿宋_GB2312"/>
                <w:color w:val="auto"/>
              </w:rPr>
              <w:t>收集</w:t>
            </w:r>
            <w:r>
              <w:rPr>
                <w:rFonts w:hint="eastAsia" w:ascii="仿宋_GB2312" w:eastAsia="仿宋_GB2312"/>
                <w:color w:val="auto"/>
              </w:rPr>
              <w:t>处理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含VOCs的中间产品储存过程是否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含VOCs的中间产品转移、输送过程是否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含VOCs的中间产品投加过程是否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含VOCs的成品（产品）储存过程是否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含VOCs的成品（产品）转移、输送过程是否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含VOCs的成品（产品）卸料、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灌装、包装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过程是否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涉及VOCs的投料口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、卸料口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、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灌装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接口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包装设施在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未使用时是否密闭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载有气（液）态VOCs物料的设备与管线组件密封点大于等于2000个时，是否按照规定的时间、频次进行VOCs的泄漏检测与修复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含VOCs的危险废物产生后是否马上密闭（包括漆渣、更换的VOCs吸附剂、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过滤棉、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以及含油墨、有机溶剂、清洗剂的包装物、污水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处理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废弃物等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含VOCs的危险废物贮存期间是否密闭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含VOCs的危险废物输送、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转移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产生VOCs的生产车间（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或生产设施）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是否密闭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产生VOCs的生产车间（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或生产设施）车间</w:t>
            </w:r>
            <w:r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  <w:t>门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窗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是否设置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常闭警示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标识或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操作规程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所有产生VOCs的生产车间是否有未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收集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处理废气的排气风扇（或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换气风扇）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所有产生VOCs的生产车间门是否设置阻隔设施（双重门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等）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产生VOCs的密闭空间是否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为微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负压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所有产生VOCs的生产车间（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或生产设施）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是否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存在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漏气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点位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lang w:eastAsia="zh-CN"/>
              </w:rPr>
              <w:t>含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VOCs的</w:t>
            </w:r>
            <w:r>
              <w:rPr>
                <w:rFonts w:hint="eastAsia" w:ascii="仿宋_GB2312" w:eastAsia="仿宋_GB2312"/>
                <w:color w:val="auto"/>
              </w:rPr>
              <w:t>污水处理站的处理构筑物是否加盖密封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lang w:eastAsia="zh-CN"/>
              </w:rPr>
              <w:t>含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VOCs的</w:t>
            </w:r>
            <w:r>
              <w:rPr>
                <w:rFonts w:hint="eastAsia" w:ascii="仿宋_GB2312" w:eastAsia="仿宋_GB2312"/>
                <w:color w:val="auto"/>
              </w:rPr>
              <w:t>污水处理站的废气是否收集处理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VOCs集气管路是否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标明废气走向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（现有标识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总个数：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所有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产生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VOCs的生产场所和工段是否设置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废气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收集系统，将废气收集到位并导入废气治理设施。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59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废气收集系统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、治理设施和生产设备的开、关时间是否记录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设施设备的开关时间是否写入操作规程并明示公布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废气收集系统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、治理设施和生产设备的开、关时间是否符合要求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密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闭设施外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任意一点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非甲烷总烃、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苯、甲苯、二甲苯中的任一种污染物瞬时排放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浓度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值是否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低于无组织排放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监控浓度限值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检查</w:t>
            </w:r>
            <w:r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  <w:t>最大可能点位包括：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原料仓库（储罐）、危废仓库及无组织排放最大可能点至少三点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</w:rPr>
              <w:t>VOCs治理设施是否设正常运行，治理设施</w:t>
            </w: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  <w:lang w:eastAsia="zh-CN"/>
              </w:rPr>
              <w:t>去除效率是否高于</w:t>
            </w: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50%；收集的废气中NMHC初始排放速率≥2kg/h的，治理设施去除</w:t>
            </w: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</w:rPr>
              <w:t>效率是否高于80%</w:t>
            </w: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  <w:lang w:eastAsia="zh-CN"/>
              </w:rPr>
              <w:t>。</w:t>
            </w:r>
            <w:r>
              <w:rPr>
                <w:rFonts w:hint="default" w:ascii="仿宋_GB2312" w:hAnsi="宋体" w:eastAsia="仿宋_GB2312" w:cs="宋体"/>
                <w:color w:val="auto"/>
                <w:sz w:val="22"/>
                <w:szCs w:val="22"/>
              </w:rPr>
              <w:t>（2020年8月25日前建成的低温等离子体法或光催化氧化法设施净化效率是否高于50%）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的处理工艺及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流程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的主要技术参数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的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操作规程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的保养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维护制度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公示的位置是否为治理设施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场所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的显著位置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公示的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场所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一共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几个位置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？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一共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位置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公示场所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具体位置：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1、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中涂房外墙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2、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3、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         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所有公示</w:t>
            </w:r>
            <w:r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  <w:t>内容是否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包含</w:t>
            </w:r>
            <w:r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  <w:t>公示环保举报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投诉</w:t>
            </w:r>
            <w:r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  <w:t>电话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12369或各驻区生态环境局公布的环保举报热线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是否记录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VOCs治理设施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的关键技术指标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，如焚烧（含热氧化）要记录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燃烧温度。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不涉及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需定期更换吸附剂、催化剂或吸收液的，是否有详细的购买及更换台账，包括装填量、更换周期、采购发票及转移处置记录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最新更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新的日期：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2024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日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排气筒数量是否符合要求：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采用燃烧法（含直接燃烧、催化燃烧和蓄热燃烧法等）治理VOCs废气的，每套燃烧设施允许设置一根VOCs排气筒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采用其他方法治理VOCs废气的，一个企业一栋建筑只允许设置一根VOCs排气筒。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57"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涉及使用活性炭吸附工艺的企业：设施前端应配置干燥工艺，除湿剂更换周期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7000小时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，装填量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2.5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，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最后一次更换日期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  <w:lang w:val="en-US" w:eastAsia="zh-CN"/>
              </w:rPr>
              <w:t>5.23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喷漆工艺废气有应用活性炭吸附工艺的企业：进入活性炭处理设施前是否有去除颗粒物，记录并公示去除装置的装填量、装填日期、更换周期。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是否还有设置其他任何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VOCs废气的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排放口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及出风口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按《固定源监测技术规范》（HJ／T397）要求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设置采样口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口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是否按规范设置采样平台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口附近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配备固定电源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口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是否按规范设置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固定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安全的人员通道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排气筒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采样口后是否还有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其他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废气接入排气筒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_GB2312" w:hAnsi="宋体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本</w:t>
            </w:r>
            <w:r>
              <w:rPr>
                <w:rFonts w:ascii="仿宋_GB2312" w:hAnsi="宋体" w:eastAsia="仿宋_GB2312"/>
                <w:color w:val="auto"/>
                <w:sz w:val="22"/>
                <w:szCs w:val="22"/>
              </w:rPr>
              <w:t>自查表是否在互联网公开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公示</w:t>
            </w:r>
          </w:p>
        </w:tc>
        <w:tc>
          <w:tcPr>
            <w:tcW w:w="12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 xml:space="preserve">企业负责人签字：  吴丹雅                          </w:t>
      </w:r>
    </w:p>
    <w:p>
      <w:pPr>
        <w:adjustRightInd w:val="0"/>
        <w:snapToGrid w:val="0"/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</w:pPr>
    </w:p>
    <w:p>
      <w:pPr>
        <w:adjustRightInd w:val="0"/>
        <w:snapToGrid w:val="0"/>
        <w:rPr>
          <w:rFonts w:hint="default" w:ascii="仿宋_GB2312" w:hAnsi="宋体" w:eastAsia="仿宋_GB2312"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现场检查人签字：戴伟明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82C6D"/>
    <w:multiLevelType w:val="multilevel"/>
    <w:tmpl w:val="7AB82C6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ODc3YzIzZDE1ZTkzZTQ1Y2YxM2VkYTcyZGIxZmYifQ=="/>
  </w:docVars>
  <w:rsids>
    <w:rsidRoot w:val="00000000"/>
    <w:rsid w:val="02337085"/>
    <w:rsid w:val="10607F76"/>
    <w:rsid w:val="12D22C2E"/>
    <w:rsid w:val="14940306"/>
    <w:rsid w:val="19337D11"/>
    <w:rsid w:val="30B74B1B"/>
    <w:rsid w:val="33B464B3"/>
    <w:rsid w:val="361E045C"/>
    <w:rsid w:val="417E4785"/>
    <w:rsid w:val="5E17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ind w:firstLine="0" w:firstLineChars="0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4"/>
    <w:link w:val="14"/>
    <w:unhideWhenUsed/>
    <w:qFormat/>
    <w:uiPriority w:val="0"/>
    <w:pPr>
      <w:keepNext/>
      <w:keepLines/>
      <w:ind w:firstLine="0" w:firstLineChars="0"/>
      <w:outlineLvl w:val="1"/>
    </w:pPr>
    <w:rPr>
      <w:rFonts w:ascii="Times New Roman" w:hAnsi="Times New Roman" w:eastAsia="宋体"/>
      <w:b/>
      <w:bCs/>
      <w:sz w:val="30"/>
      <w:szCs w:val="32"/>
    </w:rPr>
  </w:style>
  <w:style w:type="paragraph" w:styleId="5">
    <w:name w:val="heading 3"/>
    <w:basedOn w:val="1"/>
    <w:next w:val="4"/>
    <w:link w:val="15"/>
    <w:unhideWhenUsed/>
    <w:qFormat/>
    <w:uiPriority w:val="0"/>
    <w:pPr>
      <w:keepNext/>
      <w:keepLines/>
      <w:adjustRightInd w:val="0"/>
      <w:snapToGrid w:val="0"/>
      <w:ind w:firstLine="0" w:firstLineChars="0"/>
      <w:outlineLvl w:val="2"/>
    </w:pPr>
    <w:rPr>
      <w:rFonts w:ascii="Times New Roman" w:hAnsi="Times New Roman" w:eastAsia="宋体"/>
      <w:b/>
      <w:bCs/>
      <w:sz w:val="28"/>
      <w:szCs w:val="32"/>
    </w:rPr>
  </w:style>
  <w:style w:type="paragraph" w:styleId="6">
    <w:name w:val="heading 4"/>
    <w:basedOn w:val="1"/>
    <w:next w:val="1"/>
    <w:link w:val="16"/>
    <w:unhideWhenUsed/>
    <w:qFormat/>
    <w:uiPriority w:val="0"/>
    <w:pPr>
      <w:keepNext/>
      <w:keepLines/>
      <w:outlineLvl w:val="3"/>
    </w:pPr>
    <w:rPr>
      <w:rFonts w:ascii="Times New Roman" w:hAnsi="Times New Roman" w:eastAsia="宋体" w:cstheme="majorBidi"/>
      <w:b/>
      <w:bCs/>
      <w:sz w:val="24"/>
      <w:szCs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="Times New Roman" w:hAnsi="Times New Roman" w:eastAsia="宋体"/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page number"/>
    <w:qFormat/>
    <w:uiPriority w:val="0"/>
  </w:style>
  <w:style w:type="character" w:customStyle="1" w:styleId="13">
    <w:name w:val="标题 1 Char"/>
    <w:basedOn w:val="11"/>
    <w:link w:val="2"/>
    <w:qFormat/>
    <w:uiPriority w:val="0"/>
    <w:rPr>
      <w:rFonts w:ascii="Times New Roman" w:hAnsi="Times New Roman" w:eastAsia="宋体" w:cstheme="minorBidi"/>
      <w:b/>
      <w:bCs/>
      <w:kern w:val="44"/>
      <w:sz w:val="32"/>
      <w:szCs w:val="44"/>
    </w:rPr>
  </w:style>
  <w:style w:type="character" w:customStyle="1" w:styleId="14">
    <w:name w:val="标题 2 Char"/>
    <w:basedOn w:val="11"/>
    <w:link w:val="3"/>
    <w:qFormat/>
    <w:uiPriority w:val="0"/>
    <w:rPr>
      <w:rFonts w:ascii="Times New Roman" w:hAnsi="Times New Roman" w:eastAsia="宋体" w:cstheme="minorBidi"/>
      <w:b/>
      <w:bCs/>
      <w:sz w:val="30"/>
      <w:szCs w:val="32"/>
    </w:rPr>
  </w:style>
  <w:style w:type="character" w:customStyle="1" w:styleId="15">
    <w:name w:val="标题 3 Char"/>
    <w:basedOn w:val="11"/>
    <w:link w:val="5"/>
    <w:qFormat/>
    <w:uiPriority w:val="0"/>
    <w:rPr>
      <w:rFonts w:ascii="Times New Roman" w:hAnsi="Times New Roman" w:eastAsia="宋体" w:cstheme="minorBidi"/>
      <w:b/>
      <w:bCs/>
      <w:sz w:val="28"/>
      <w:szCs w:val="32"/>
    </w:rPr>
  </w:style>
  <w:style w:type="character" w:customStyle="1" w:styleId="16">
    <w:name w:val="标题 4 Char"/>
    <w:basedOn w:val="11"/>
    <w:link w:val="6"/>
    <w:qFormat/>
    <w:uiPriority w:val="0"/>
    <w:rPr>
      <w:rFonts w:ascii="Times New Roman" w:hAnsi="Times New Roman" w:eastAsia="宋体" w:cstheme="majorBidi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1897</Words>
  <Characters>2111</Characters>
  <Lines>0</Lines>
  <Paragraphs>0</Paragraphs>
  <TotalTime>65</TotalTime>
  <ScaleCrop>false</ScaleCrop>
  <LinksUpToDate>false</LinksUpToDate>
  <CharactersWithSpaces>2394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2022-04-01T08:55:00Z</dcterms:created>
  <dc:creator>inconceivable</dc:creator>
  <cp:lastModifiedBy>戴伟明</cp:lastModifiedBy>
  <dcterms:modified xsi:type="dcterms:W3CDTF">2024-06-26T07:39:44Z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84ABBB8320724BA0BE74AE028B01CB6C_13</vt:lpwstr>
  </property>
</Properties>
</file>